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100"/>
      </w:pP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olor w:val="6B6B78"/>
          <w:sz w:val="24"/>
          <w:szCs w:val="24"/>
        </w:rPr>
        <w:t xml:space="preserve">UGC SCHOOL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22222E"/>
          <w:sz w:val="44"/>
          <w:szCs w:val="44"/>
        </w:rPr>
        <w:t xml:space="preserve">ПРИЙОМ ОПЛАТИ</w:t>
      </w:r>
    </w:p>
    <w:p>
      <w:pPr>
        <w:spacing w:after="280"/>
        <w:jc w:val="center"/>
      </w:pPr>
      <w:r>
        <w:rPr>
          <w:rFonts w:ascii="Calibri" w:cs="Calibri" w:eastAsia="Calibri" w:hAnsi="Calibri"/>
          <w:b/>
          <w:bCs/>
          <w:color w:val="C0392B"/>
          <w:sz w:val="44"/>
          <w:szCs w:val="44"/>
        </w:rPr>
        <w:t xml:space="preserve">З-ЗА КОРДОНУ</w:t>
      </w:r>
    </w:p>
    <w:p>
      <w:pPr>
        <w:spacing w:after="700"/>
        <w:jc w:val="center"/>
      </w:pPr>
      <w:r>
        <w:rPr>
          <w:rFonts w:ascii="Calibri" w:cs="Calibri" w:eastAsia="Calibri" w:hAnsi="Calibri"/>
          <w:i/>
          <w:iCs/>
          <w:color w:val="6B6B78"/>
          <w:sz w:val="24"/>
          <w:szCs w:val="24"/>
        </w:rPr>
        <w:t xml:space="preserve">Як отримувати гроші від iноземних брендiв --
яким каналом, яка рiзниця в податках i що потрiбно оформити</w:t>
      </w:r>
    </w:p>
    <w:p>
      <w:pPr>
        <w:spacing w:before="1300"/>
        <w:jc w:val="center"/>
      </w:pPr>
      <w:r>
        <w:rPr>
          <w:rFonts w:ascii="Calibri" w:cs="Calibri" w:eastAsia="Calibri" w:hAnsi="Calibri"/>
          <w:color w:val="6B6B78"/>
          <w:sz w:val="20"/>
          <w:szCs w:val="20"/>
        </w:rPr>
        <w:t xml:space="preserve">Бонусний матерiал курсу UGC School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Змiст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Головна iдея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1. Сервiси прийому оплати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4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2. Порiвняльна таблиця сервiсiв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6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3. Податки: коротко i по сутi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7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4. Валютний контроль -- що знати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8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5. Практичний чек-лист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9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Головна iдея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Бiльшiсть UGC-креаторiв отримують гроші вiд iноземних брендiв та агенцiй. Питання не тiльки "куди прийде оплата", а яким каналом -- бо вiд цього напряму залежить, скiльки податкiв ти заплатиш.</w:t>
      </w:r>
    </w:p>
    <w:tbl>
      <w:tblPr>
        <w:tblW w:type="dxa" w:w="9360"/>
        <w:tblBorders>
          <w:top w:val="single" w:color="D9D6F0" w:sz="4"/>
          <w:left w:val="single" w:color="C0392B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Дохiд, що зайшов на пiдприємницький валютний рахунок ФОП:  5% + 1% вiйськового збору.</w:t>
            </w:r>
          </w:p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Той самий дохiд, що зайшов на особисту картку або залишився в сервiсi:  23% як дохiд фiзособи.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Правильний канал = у ~4 рази менше податкiв.</w:t>
            </w:r>
          </w:p>
        </w:tc>
      </w:tr>
    </w:tbl>
    <w:p>
      <w:pPr>
        <w:spacing w:before="18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Ця рiзниця -- єдина причина, чому питання каналу оплати таке важливе. Всi рекомендацiї в цьому гайдi будуються навколо одного правила: гроші мають надходити на пiдприємницький рахунок ФОП, а не на особисту картку i не "зависати" в платiжному сервiсi.</w:t>
      </w:r>
    </w:p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1.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Сервiси прийому оплати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Є пiять основних варiантiв -- кожен пiдходить для рiзного типу клiєнтiв i формату роботи. Крiм них, є двi категорiї, якi краще не використовувати як основний канал.</w:t>
      </w:r>
    </w:p>
    <w:p>
      <w:pPr>
        <w:spacing w:before="120"/>
      </w:pPr>
    </w:p>
    <w:tbl>
      <w:tblPr>
        <w:tblW w:type="dxa" w:w="9360"/>
        <w:tblBorders>
          <w:top w:val="single" w:color="F4C0CE" w:sz="4"/>
          <w:left w:val="single" w:color="C0392B" w:sz="20"/>
          <w:bottom w:val="single" w:color="F4C0CE" w:sz="4"/>
          <w:right w:val="single" w:color="F4C0CE" w:sz="4"/>
          <w:insideH w:val="none"/>
          <w:insideV w:val="single" w:color="F4C0CE" w:sz="4"/>
        </w:tblBorders>
      </w:tblPr>
      <w:tblGrid>
        <w:gridCol w:w="2300"/>
        <w:gridCol w:w="7060"/>
      </w:tblGrid>
      <w:tr>
        <w:tc>
          <w:tcPr>
            <w:tcW w:type="dxa" w:w="2300"/>
            <w:shd w:fill="FDF0F4" w:val="clear"/>
            <w:tcMar>
              <w:top w:type="dxa" w:w="120"/>
              <w:left w:type="dxa" w:w="160"/>
              <w:bottom w:type="dxa" w:w="12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Payoneer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i/>
                <w:iCs/>
                <w:color w:val="D63864"/>
                <w:sz w:val="17"/>
                <w:szCs w:val="17"/>
              </w:rPr>
              <w:t xml:space="preserve">найпопулярнiший серед украiнських фрiлансерiв</w:t>
            </w:r>
          </w:p>
        </w:tc>
        <w:tc>
          <w:tcPr>
            <w:tcW w:type="dxa" w:w="7060"/>
            <w:shd w:fill="FFFFFF" w:val="clear"/>
            <w:tcMar>
              <w:top w:type="dxa" w:w="120"/>
              <w:left w:type="dxa" w:w="180"/>
              <w:bottom w:type="dxa" w:w="120"/>
              <w:right w:type="dxa" w:w="160"/>
            </w:tcMar>
          </w:tcPr>
          <w:p>
            <w:pPr>
              <w:spacing w:after="10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Найкращий варiант, якщо бренди платять через маркетплейси (Upwork, Fiverr, Amazon) -- є пряма iнтеграцiя з ними.</w:t>
            </w:r>
          </w:p>
          <w:p>
            <w:pPr>
              <w:spacing w:after="10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Отримуєш реквiзити в USD/EUR, виводиш на ПриватБанк, monobank або iнший банк.</w:t>
            </w:r>
          </w:p>
          <w:p>
            <w:pPr>
              <w:spacing w:after="10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Комiсiї: вивiд на банк -- близько 2%; конвертацiя валют -- близько 0,5%; отримання вiд iнших Payoneer-користувачiв -- безкоштовно.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Найкращий вибiр, якщо бренди платять через платформи або якщо вже маєш акаунт на фрiланс-маркетплейсах.</w:t>
            </w:r>
          </w:p>
        </w:tc>
      </w:tr>
    </w:tbl>
    <w:p>
      <w:pPr>
        <w:spacing w:before="120"/>
      </w:pPr>
    </w:p>
    <w:tbl>
      <w:tblPr>
        <w:tblW w:type="dxa" w:w="9360"/>
        <w:tblBorders>
          <w:top w:val="single" w:color="F4C0CE" w:sz="4"/>
          <w:left w:val="single" w:color="C0392B" w:sz="20"/>
          <w:bottom w:val="single" w:color="F4C0CE" w:sz="4"/>
          <w:right w:val="single" w:color="F4C0CE" w:sz="4"/>
          <w:insideH w:val="none"/>
          <w:insideV w:val="single" w:color="F4C0CE" w:sz="4"/>
        </w:tblBorders>
      </w:tblPr>
      <w:tblGrid>
        <w:gridCol w:w="2300"/>
        <w:gridCol w:w="7060"/>
      </w:tblGrid>
      <w:tr>
        <w:tc>
          <w:tcPr>
            <w:tcW w:type="dxa" w:w="2300"/>
            <w:shd w:fill="FDF0F4" w:val="clear"/>
            <w:tcMar>
              <w:top w:type="dxa" w:w="120"/>
              <w:left w:type="dxa" w:w="160"/>
              <w:bottom w:type="dxa" w:w="12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Wise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i/>
                <w:iCs/>
                <w:color w:val="D63864"/>
                <w:sz w:val="17"/>
                <w:szCs w:val="17"/>
              </w:rPr>
              <w:t xml:space="preserve">зручний для прямих переказiв i кiлькох валют</w:t>
            </w:r>
          </w:p>
        </w:tc>
        <w:tc>
          <w:tcPr>
            <w:tcW w:type="dxa" w:w="7060"/>
            <w:shd w:fill="FFFFFF" w:val="clear"/>
            <w:tcMar>
              <w:top w:type="dxa" w:w="120"/>
              <w:left w:type="dxa" w:w="180"/>
              <w:bottom w:type="dxa" w:w="120"/>
              <w:right w:type="dxa" w:w="160"/>
            </w:tcMar>
          </w:tcPr>
          <w:p>
            <w:pPr>
              <w:spacing w:after="10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Пiдходить, коли бренд платить прямим переказом, а тобi треба тримати кiлька валют одночасно.</w:t>
            </w:r>
          </w:p>
          <w:p>
            <w:pPr>
              <w:spacing w:after="10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Мультивалютний рахунок; курс конвертацiї близький до ринкового (mid-market rate), невелика комiсiя за конвертацiю.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Часто використовують як другий гаманець поруч iз Payoneer -- наприклад, якщо одна частина клiєнтiв платить через платформи, iнша -- прямо.</w:t>
            </w:r>
          </w:p>
        </w:tc>
      </w:tr>
    </w:tbl>
    <w:p>
      <w:pPr>
        <w:spacing w:before="120"/>
      </w:pPr>
    </w:p>
    <w:tbl>
      <w:tblPr>
        <w:tblW w:type="dxa" w:w="9360"/>
        <w:tblBorders>
          <w:top w:val="single" w:color="F4C0CE" w:sz="4"/>
          <w:left w:val="single" w:color="C0392B" w:sz="20"/>
          <w:bottom w:val="single" w:color="F4C0CE" w:sz="4"/>
          <w:right w:val="single" w:color="F4C0CE" w:sz="4"/>
          <w:insideH w:val="none"/>
          <w:insideV w:val="single" w:color="F4C0CE" w:sz="4"/>
        </w:tblBorders>
      </w:tblPr>
      <w:tblGrid>
        <w:gridCol w:w="2300"/>
        <w:gridCol w:w="7060"/>
      </w:tblGrid>
      <w:tr>
        <w:tc>
          <w:tcPr>
            <w:tcW w:type="dxa" w:w="2300"/>
            <w:shd w:fill="FDF0F4" w:val="clear"/>
            <w:tcMar>
              <w:top w:type="dxa" w:w="120"/>
              <w:left w:type="dxa" w:w="160"/>
              <w:bottom w:type="dxa" w:w="12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Deel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i/>
                <w:iCs/>
                <w:color w:val="D63864"/>
                <w:sz w:val="17"/>
                <w:szCs w:val="17"/>
              </w:rPr>
              <w:t xml:space="preserve">для контрактiв з брендами та агенцiями</w:t>
            </w:r>
          </w:p>
        </w:tc>
        <w:tc>
          <w:tcPr>
            <w:tcW w:type="dxa" w:w="7060"/>
            <w:shd w:fill="FFFFFF" w:val="clear"/>
            <w:tcMar>
              <w:top w:type="dxa" w:w="120"/>
              <w:left w:type="dxa" w:w="180"/>
              <w:bottom w:type="dxa" w:w="120"/>
              <w:right w:type="dxa" w:w="160"/>
            </w:tcMar>
          </w:tcPr>
          <w:p>
            <w:pPr>
              <w:spacing w:after="10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Найзручнiший формат, коли працюєш з брендом або агенцiєю як контрактор. Компанiя платить через Deel, ти виставляєш iнвойс -- усе оформлено офiцiйно.</w:t>
            </w:r>
          </w:p>
          <w:p>
            <w:pPr>
              <w:spacing w:after="10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Дохiд рахується за сумою в iнвойсi i на дату надходження на Deel (а не на дату виведення в банк). Комiсiї Deel базу оподаткування не зменшують.</w:t>
            </w:r>
          </w:p>
          <w:p>
            <w:pPr>
              <w:spacing w:after="10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Виводиш на валютний рахунок ФОП в украiнському банку -- тодi 5%.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Практична порада: якщо гроші зайшли на Deel наприкiнцi кварталу -- переведи iх на пiдприємницький рахунок до кiнця того ж кварталу.</w:t>
            </w:r>
          </w:p>
        </w:tc>
      </w:tr>
    </w:tbl>
    <w:p>
      <w:pPr>
        <w:spacing w:before="120"/>
      </w:pPr>
    </w:p>
    <w:tbl>
      <w:tblPr>
        <w:tblW w:type="dxa" w:w="9360"/>
        <w:tblBorders>
          <w:top w:val="single" w:color="F4C0CE" w:sz="4"/>
          <w:left w:val="single" w:color="C0392B" w:sz="20"/>
          <w:bottom w:val="single" w:color="F4C0CE" w:sz="4"/>
          <w:right w:val="single" w:color="F4C0CE" w:sz="4"/>
          <w:insideH w:val="none"/>
          <w:insideV w:val="single" w:color="F4C0CE" w:sz="4"/>
        </w:tblBorders>
      </w:tblPr>
      <w:tblGrid>
        <w:gridCol w:w="2300"/>
        <w:gridCol w:w="7060"/>
      </w:tblGrid>
      <w:tr>
        <w:tc>
          <w:tcPr>
            <w:tcW w:type="dxa" w:w="2300"/>
            <w:shd w:fill="FDF0F4" w:val="clear"/>
            <w:tcMar>
              <w:top w:type="dxa" w:w="120"/>
              <w:left w:type="dxa" w:w="160"/>
              <w:bottom w:type="dxa" w:w="12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SWIFT / iнвойс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i/>
                <w:iCs/>
                <w:color w:val="D63864"/>
                <w:sz w:val="17"/>
                <w:szCs w:val="17"/>
              </w:rPr>
              <w:t xml:space="preserve">найпрозорiший варiант для прямої роботи</w:t>
            </w:r>
          </w:p>
        </w:tc>
        <w:tc>
          <w:tcPr>
            <w:tcW w:type="dxa" w:w="7060"/>
            <w:shd w:fill="FFFFFF" w:val="clear"/>
            <w:tcMar>
              <w:top w:type="dxa" w:w="120"/>
              <w:left w:type="dxa" w:w="180"/>
              <w:bottom w:type="dxa" w:w="120"/>
              <w:right w:type="dxa" w:w="160"/>
            </w:tcMar>
          </w:tcPr>
          <w:p>
            <w:pPr>
              <w:spacing w:after="10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Класичний варiант для роботи напряму з брендом: виставляєш iнвойс -- компанiя платить SWIFT-переказом одразу на твiй валютний рахунок ФОП.</w:t>
            </w:r>
          </w:p>
          <w:p>
            <w:pPr>
              <w:spacing w:after="10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Найпрозорiше з точки зору податковоi: менше посередникiв, прямий запис у виписцi.</w:t>
            </w:r>
          </w:p>
          <w:p>
            <w:pPr>
              <w:spacing w:after="10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Мiнус: банкiвськi комiсiї за мiжнародний переказ i iнодi довше проводиться.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color w:val="22222E"/>
                <w:sz w:val="20"/>
                <w:szCs w:val="20"/>
              </w:rPr>
              <w:t xml:space="preserve">Добре пiдходить, коли є постiйний бренд або агенцiя, з якими вже встановлений довiрчий зв'язок.</w:t>
            </w:r>
          </w:p>
        </w:tc>
      </w:tr>
    </w:tbl>
    <w:p>
      <w:pPr>
        <w:spacing w:before="16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Двi категорiї, якi краще не брати як основний канал:</w:t>
      </w:r>
    </w:p>
    <w:p>
      <w:pPr>
        <w:spacing w:before="80"/>
      </w:pPr>
    </w:p>
    <w:tbl>
      <w:tblPr>
        <w:tblW w:type="dxa" w:w="9360"/>
        <w:tblBorders>
          <w:top w:val="single" w:color="D9D6F0" w:sz="4"/>
          <w:left w:val="single" w:color="B8862E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8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7A5A1A"/>
                <w:sz w:val="22"/>
                <w:szCs w:val="22"/>
              </w:rPr>
              <w:t xml:space="preserve">PayPal -- станом на 2026 рiк не працює повноцiнно для бiзнес-прийому в Украiнi: отримати комерцiйну оплату i вивести iï на украiнський банк повноцiнно все ще не можна. Не плануй як основний канал для оплати вiд брендiв.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7A5A1A"/>
                <w:sz w:val="22"/>
                <w:szCs w:val="22"/>
              </w:rPr>
              <w:t xml:space="preserve">Крипта / USDT -- поширений спосiб, але сiра зона: дохiд усе одно потрiбно декларувати, банки можуть ставити питання за комплаєнсом при заведеннi коштiв у гривню. Не рекомендується як основний легальний канал.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2.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Порiвняльна таблиця сервiсiв</w:t>
      </w:r>
    </w:p>
    <w:p>
      <w:pPr>
        <w:spacing w:before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80"/>
        <w:gridCol w:w="2900"/>
        <w:gridCol w:w="2380"/>
        <w:gridCol w:w="2400"/>
      </w:tblGrid>
      <w:tr>
        <w:trPr>
          <w:tblHeader/>
        </w:trPr>
        <w:tc>
          <w:tcPr>
            <w:tcW w:type="dxa" w:w="1680"/>
            <w:shd w:fill="8B1A2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Сервіс</w:t>
            </w:r>
          </w:p>
        </w:tc>
        <w:tc>
          <w:tcPr>
            <w:tcW w:type="dxa" w:w="2900"/>
            <w:shd w:fill="8B1A2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Для чого найкращий</w:t>
            </w:r>
          </w:p>
        </w:tc>
        <w:tc>
          <w:tcPr>
            <w:tcW w:type="dxa" w:w="2380"/>
            <w:shd w:fill="8B1A2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Орієнтовні комісії</w:t>
            </w:r>
          </w:p>
        </w:tc>
        <w:tc>
          <w:tcPr>
            <w:tcW w:type="dxa" w:w="2400"/>
            <w:shd w:fill="8B1A2E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Вивід в Україну</w:t>
            </w:r>
          </w:p>
        </w:tc>
      </w:tr>
      <w:tr>
        <w:tc>
          <w:tcPr>
            <w:tcW w:type="dxa" w:w="168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2222E"/>
                <w:sz w:val="18"/>
                <w:szCs w:val="18"/>
              </w:rPr>
              <w:t xml:space="preserve">Payoneer</w:t>
            </w:r>
          </w:p>
        </w:tc>
        <w:tc>
          <w:tcPr>
            <w:tcW w:type="dxa" w:w="29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E"/>
                <w:sz w:val="18"/>
                <w:szCs w:val="18"/>
              </w:rPr>
              <w:t xml:space="preserve">Маркетплейси (Upwork, Fiverr, Amazon)</w:t>
            </w:r>
          </w:p>
        </w:tc>
        <w:tc>
          <w:tcPr>
            <w:tcW w:type="dxa" w:w="238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E"/>
                <w:sz w:val="18"/>
                <w:szCs w:val="18"/>
              </w:rPr>
              <w:t xml:space="preserve">Вивід ~2%, конвертація ~0,5%</w:t>
            </w:r>
          </w:p>
        </w:tc>
        <w:tc>
          <w:tcPr>
            <w:tcW w:type="dxa" w:w="24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E"/>
                <w:sz w:val="18"/>
                <w:szCs w:val="18"/>
              </w:rPr>
              <w:t xml:space="preserve">На банк / картку</w:t>
            </w:r>
          </w:p>
        </w:tc>
      </w:tr>
      <w:tr>
        <w:tc>
          <w:tcPr>
            <w:tcW w:type="dxa" w:w="1680"/>
            <w:shd w:fill="FDF0F4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2222E"/>
                <w:sz w:val="18"/>
                <w:szCs w:val="18"/>
              </w:rPr>
              <w:t xml:space="preserve">Wise</w:t>
            </w:r>
          </w:p>
        </w:tc>
        <w:tc>
          <w:tcPr>
            <w:tcW w:type="dxa" w:w="2900"/>
            <w:shd w:fill="FDF0F4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E"/>
                <w:sz w:val="18"/>
                <w:szCs w:val="18"/>
              </w:rPr>
              <w:t xml:space="preserve">Прямі перекази, кілька валют</w:t>
            </w:r>
          </w:p>
        </w:tc>
        <w:tc>
          <w:tcPr>
            <w:tcW w:type="dxa" w:w="2380"/>
            <w:shd w:fill="FDF0F4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E"/>
                <w:sz w:val="18"/>
                <w:szCs w:val="18"/>
              </w:rPr>
              <w:t xml:space="preserve">Курс близький до ринкового + невеликий %</w:t>
            </w:r>
          </w:p>
        </w:tc>
        <w:tc>
          <w:tcPr>
            <w:tcW w:type="dxa" w:w="2400"/>
            <w:shd w:fill="FDF0F4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E"/>
                <w:sz w:val="18"/>
                <w:szCs w:val="18"/>
              </w:rPr>
              <w:t xml:space="preserve">На банк</w:t>
            </w:r>
          </w:p>
        </w:tc>
      </w:tr>
      <w:tr>
        <w:tc>
          <w:tcPr>
            <w:tcW w:type="dxa" w:w="168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2222E"/>
                <w:sz w:val="18"/>
                <w:szCs w:val="18"/>
              </w:rPr>
              <w:t xml:space="preserve">Deel</w:t>
            </w:r>
          </w:p>
        </w:tc>
        <w:tc>
          <w:tcPr>
            <w:tcW w:type="dxa" w:w="29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E"/>
                <w:sz w:val="18"/>
                <w:szCs w:val="18"/>
              </w:rPr>
              <w:t xml:space="preserve">Контракти з брендами та агенціями</w:t>
            </w:r>
          </w:p>
        </w:tc>
        <w:tc>
          <w:tcPr>
            <w:tcW w:type="dxa" w:w="238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E"/>
                <w:sz w:val="18"/>
                <w:szCs w:val="18"/>
              </w:rPr>
              <w:t xml:space="preserve">Комісія за переказ -- залежить від методу</w:t>
            </w:r>
          </w:p>
        </w:tc>
        <w:tc>
          <w:tcPr>
            <w:tcW w:type="dxa" w:w="24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E"/>
                <w:sz w:val="18"/>
                <w:szCs w:val="18"/>
              </w:rPr>
              <w:t xml:space="preserve">На валютний рахунок ФОП</w:t>
            </w:r>
          </w:p>
        </w:tc>
      </w:tr>
      <w:tr>
        <w:tc>
          <w:tcPr>
            <w:tcW w:type="dxa" w:w="1680"/>
            <w:shd w:fill="FDF0F4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2222E"/>
                <w:sz w:val="18"/>
                <w:szCs w:val="18"/>
              </w:rPr>
              <w:t xml:space="preserve">SWIFT / iнвойс</w:t>
            </w:r>
          </w:p>
        </w:tc>
        <w:tc>
          <w:tcPr>
            <w:tcW w:type="dxa" w:w="2900"/>
            <w:shd w:fill="FDF0F4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E"/>
                <w:sz w:val="18"/>
                <w:szCs w:val="18"/>
              </w:rPr>
              <w:t xml:space="preserve">Пряма робота з брендом</w:t>
            </w:r>
          </w:p>
        </w:tc>
        <w:tc>
          <w:tcPr>
            <w:tcW w:type="dxa" w:w="2380"/>
            <w:shd w:fill="FDF0F4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E"/>
                <w:sz w:val="18"/>
                <w:szCs w:val="18"/>
              </w:rPr>
              <w:t xml:space="preserve">Банківські комісії за переказ</w:t>
            </w:r>
          </w:p>
        </w:tc>
        <w:tc>
          <w:tcPr>
            <w:tcW w:type="dxa" w:w="2400"/>
            <w:shd w:fill="FDF0F4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E"/>
                <w:sz w:val="18"/>
                <w:szCs w:val="18"/>
              </w:rPr>
              <w:t xml:space="preserve">Одразу на рахунок ФОП</w:t>
            </w:r>
          </w:p>
        </w:tc>
      </w:tr>
      <w:tr>
        <w:tc>
          <w:tcPr>
            <w:tcW w:type="dxa" w:w="168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999999"/>
                <w:sz w:val="18"/>
                <w:szCs w:val="18"/>
              </w:rPr>
              <w:t xml:space="preserve">PayPal</w:t>
            </w:r>
          </w:p>
        </w:tc>
        <w:tc>
          <w:tcPr>
            <w:tcW w:type="dxa" w:w="29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999999"/>
                <w:sz w:val="18"/>
                <w:szCs w:val="18"/>
              </w:rPr>
              <w:t xml:space="preserve">X -- не для бiзнес-прийому</w:t>
            </w:r>
          </w:p>
        </w:tc>
        <w:tc>
          <w:tcPr>
            <w:tcW w:type="dxa" w:w="238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999999"/>
                <w:sz w:val="18"/>
                <w:szCs w:val="18"/>
              </w:rPr>
              <w:t xml:space="preserve">--</w:t>
            </w:r>
          </w:p>
        </w:tc>
        <w:tc>
          <w:tcPr>
            <w:tcW w:type="dxa" w:w="24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999999"/>
                <w:sz w:val="18"/>
                <w:szCs w:val="18"/>
              </w:rPr>
              <w:t xml:space="preserve">Не працює повноцiнно</w:t>
            </w:r>
          </w:p>
        </w:tc>
      </w:tr>
      <w:tr>
        <w:tc>
          <w:tcPr>
            <w:tcW w:type="dxa" w:w="168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i/>
                <w:iCs/>
                <w:color w:val="999999"/>
                <w:sz w:val="18"/>
                <w:szCs w:val="18"/>
              </w:rPr>
              <w:t xml:space="preserve">USDT/крипта</w:t>
            </w:r>
          </w:p>
        </w:tc>
        <w:tc>
          <w:tcPr>
            <w:tcW w:type="dxa" w:w="29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999999"/>
                <w:sz w:val="18"/>
                <w:szCs w:val="18"/>
              </w:rPr>
              <w:t xml:space="preserve">!! Сiра зона, з ризиками</w:t>
            </w:r>
          </w:p>
        </w:tc>
        <w:tc>
          <w:tcPr>
            <w:tcW w:type="dxa" w:w="238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999999"/>
                <w:sz w:val="18"/>
                <w:szCs w:val="18"/>
              </w:rPr>
              <w:t xml:space="preserve">Комiсiї мережi / обмiнникiв</w:t>
            </w:r>
          </w:p>
        </w:tc>
        <w:tc>
          <w:tcPr>
            <w:tcW w:type="dxa" w:w="24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999999"/>
                <w:sz w:val="18"/>
                <w:szCs w:val="18"/>
              </w:rPr>
              <w:t xml:space="preserve">Через обмiнник (питання комплаєнсу)</w:t>
            </w:r>
          </w:p>
        </w:tc>
      </w:tr>
    </w:tbl>
    <w:p>
      <w:pPr>
        <w:spacing w:before="160"/>
      </w:pPr>
    </w:p>
    <w:tbl>
      <w:tblPr>
        <w:tblW w:type="dxa" w:w="9360"/>
        <w:tblBorders>
          <w:top w:val="single" w:color="D9D6F0" w:sz="4"/>
          <w:left w:val="single" w:color="D63864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Практичне правило вибору: якщо клiєнти платять через маркетплейси -- Payoneer; якщо бренди платять за контрактом -- Deel або SWIFT; якщо хочеш тримати кiлька валют -- Wise як додатковий гаманець.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3.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Податки: коротко i по сутi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Оптимальний варiант: ФОП 3 група (спрощена система)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Для UGC-послуг iноземним клiєнтам пiдходить саме 3 група спрощеноi системи. Важливо: 2 група не дозволяє надавати послуги нерезидентам, тому вона не пiдходить для роботи з iноземними брендами.</w:t>
      </w:r>
    </w:p>
    <w:p>
      <w:pPr>
        <w:spacing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rPr>
          <w:tblHeader/>
        </w:trPr>
        <w:tc>
          <w:tcPr>
            <w:tcW w:type="dxa" w:w="280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Платiж</w:t>
            </w:r>
          </w:p>
        </w:tc>
        <w:tc>
          <w:tcPr>
            <w:tcW w:type="dxa" w:w="656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Розмiр та умова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Єдиний податок</w:t>
            </w:r>
          </w:p>
        </w:tc>
        <w:tc>
          <w:tcPr>
            <w:tcW w:type="dxa" w:w="65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5% вiд доходу (для неплатника ПДВ) або 3% (для платника ПДВ)</w:t>
            </w:r>
          </w:p>
        </w:tc>
      </w:tr>
      <w:tr>
        <w:tc>
          <w:tcPr>
            <w:tcW w:type="dxa" w:w="28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Вiйськовий збiр</w:t>
            </w:r>
          </w:p>
        </w:tc>
        <w:tc>
          <w:tcPr>
            <w:tcW w:type="dxa" w:w="65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1% вiд доходу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ЄСВ</w:t>
            </w:r>
          </w:p>
        </w:tc>
        <w:tc>
          <w:tcPr>
            <w:tcW w:type="dxa" w:w="65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приблизно 1 902 грн/мiс -- мiнiмальний, сплачується незалежно вiд доходу</w:t>
            </w:r>
          </w:p>
        </w:tc>
      </w:tr>
      <w:tr>
        <w:tc>
          <w:tcPr>
            <w:tcW w:type="dxa" w:w="28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Разом</w:t>
            </w:r>
          </w:p>
        </w:tc>
        <w:tc>
          <w:tcPr>
            <w:tcW w:type="dxa" w:w="65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~6% вiд обороту + фiксований ЄСВ щомiсяця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Рiчний лiмiт доходу</w:t>
            </w:r>
          </w:p>
        </w:tc>
        <w:tc>
          <w:tcPr>
            <w:tcW w:type="dxa" w:w="65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9"/>
                <w:szCs w:val="19"/>
              </w:rPr>
              <w:t xml:space="preserve">~10,09 млн грн. Перевищив -- переходиш на загальну систему</w:t>
            </w:r>
          </w:p>
        </w:tc>
      </w:tr>
    </w:tbl>
    <w:p>
      <w:pPr>
        <w:spacing w:before="18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Якщо приймати як фiзособа (без ФОП)</w:t>
      </w:r>
    </w:p>
    <w:tbl>
      <w:tblPr>
        <w:tblW w:type="dxa" w:w="9360"/>
        <w:tblBorders>
          <w:top w:val="single" w:color="D9D6F0" w:sz="4"/>
          <w:left w:val="single" w:color="C0392B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Дохiд з-за кордону без ФОП = iноземний дохiд фiзособи: 18% ПДФО + 5% вiйськовий збiр = 23%. Декларується самостiйно у рiчнiй декларацiї. Саме через цю рiзницю (6% vs 23%) канал прийому оплати такий важливий.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4.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Валютний контроль -- що знати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При роботi з iноземними брендами є кiлька обов'язкових правил валютного контролю. iх порушення -- штрафи i пеня, тому краще знати з самого початку.</w:t>
      </w:r>
    </w:p>
    <w:p>
      <w:pPr>
        <w:spacing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blHeader/>
        </w:trPr>
        <w:tc>
          <w:tcPr>
            <w:tcW w:type="dxa" w:w="320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Правило</w:t>
            </w:r>
          </w:p>
        </w:tc>
        <w:tc>
          <w:tcPr>
            <w:tcW w:type="dxa" w:w="6160"/>
            <w:shd w:fill="8B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Деталi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Курс НБУ на дату надходження</w:t>
            </w:r>
          </w:p>
        </w:tc>
        <w:tc>
          <w:tcPr>
            <w:tcW w:type="dxa" w:w="61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Валюту, отриману ФОП, треба перерахувати в гривню за курсом НБУ на дату надходження -- i саме ця сума в грн iде в декларацiю.</w:t>
            </w:r>
          </w:p>
        </w:tc>
      </w:tr>
      <w:tr>
        <w:tc>
          <w:tcPr>
            <w:tcW w:type="dxa" w:w="32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Граничний строк розрахункiв</w:t>
            </w:r>
          </w:p>
        </w:tc>
        <w:tc>
          <w:tcPr>
            <w:tcW w:type="dxa" w:w="61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180 днiв з дати виставлення iнвойсу. Протягом цього строку оплата має надiйти.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Порiг валютного нагляду</w:t>
            </w:r>
          </w:p>
        </w:tc>
        <w:tc>
          <w:tcPr>
            <w:tcW w:type="dxa" w:w="6160"/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Операцii на суму менше 400 000 грн (за курсом НБУ) звiльненi вiд валютного нагляду за строками розрахункiв.</w:t>
            </w:r>
          </w:p>
        </w:tc>
      </w:tr>
      <w:tr>
        <w:tc>
          <w:tcPr>
            <w:tcW w:type="dxa" w:w="320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Санкцii за порушення</w:t>
            </w:r>
          </w:p>
        </w:tc>
        <w:tc>
          <w:tcPr>
            <w:tcW w:type="dxa" w:w="6160"/>
            <w:shd w:fill="FDF0F4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Пеня 0,3% на день вiд суми + штрафи. Тому оформлення iнвойсiв має бути акуратним i своєчасним.</w:t>
            </w:r>
          </w:p>
        </w:tc>
      </w:tr>
    </w:tbl>
    <w:p>
      <w:pPr>
        <w:spacing w:before="180"/>
      </w:pPr>
    </w:p>
    <w:tbl>
      <w:tblPr>
        <w:tblW w:type="dxa" w:w="9360"/>
        <w:tblBorders>
          <w:top w:val="single" w:color="D9D6F0" w:sz="4"/>
          <w:left w:val="single" w:color="D63864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0F4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На кожну оплату -- iнвойс з датою i сумою.</w:t>
            </w:r>
          </w:p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Фiксуй курс НБУ на дату надходження -- ця цифра пiде в декларацiю.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8B1A2E"/>
                <w:sz w:val="22"/>
                <w:szCs w:val="22"/>
              </w:rPr>
              <w:t xml:space="preserve">Не залишай гроші в Deel або Payoneer надовго -- виводь на пiдприємницький рахунок того ж кварталу.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0392B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C0392B"/>
          <w:sz w:val="32"/>
          <w:szCs w:val="32"/>
        </w:rPr>
        <w:t xml:space="preserve">5.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Практичний чек-лист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Послiдовнiсть дiй для правильного налаштування прийому оплати з-за кордону.</w:t>
      </w:r>
    </w:p>
    <w:p>
      <w:pPr>
        <w:spacing w:before="12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Одноразове налаштування (робиш один раз)</w:t>
      </w:r>
    </w:p>
    <w:p>
      <w:pPr>
        <w:spacing w:after="13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[  ]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Вiдкрий ФОП 3 групи -- КВЕДи пiд рекламу, вiдео, дiяльнiсть у сферi реклами та маркетингу.</w:t>
      </w:r>
    </w:p>
    <w:p>
      <w:pPr>
        <w:spacing w:after="13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[  ]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Вiдкрий у банку валютний рахунок ФОП (USD та/або EUR) -- це головний канал для ставки 5%.</w:t>
      </w:r>
    </w:p>
    <w:p>
      <w:pPr>
        <w:spacing w:after="13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[  ]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Вибери та зареєструй сервiс пiд свiй тип клiєнтiв: Payoneer для маркетплейсiв, Deel для контрактiв з брендами, Wise або SWIFT для прямих переказiв.</w:t>
      </w:r>
    </w:p>
    <w:p>
      <w:pPr>
        <w:spacing w:after="13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[  ]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Пiдготуй шаблон iнвойсу: назва послуги, сума, валюта, дата, реквiзити.</w:t>
      </w:r>
    </w:p>
    <w:p>
      <w:pPr>
        <w:spacing w:before="14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На кожен платiж</w:t>
      </w:r>
    </w:p>
    <w:p>
      <w:pPr>
        <w:spacing w:after="13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[  ]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Виставити iнвойс до отримання оплати або одночасно з нею.</w:t>
      </w:r>
    </w:p>
    <w:p>
      <w:pPr>
        <w:spacing w:after="13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[  ]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Зафiксувати дату надходження i курс НБУ на цю дату.</w:t>
      </w:r>
    </w:p>
    <w:p>
      <w:pPr>
        <w:spacing w:after="13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[  ]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Перевести кошти з сервiсу (Deel/Payoneer/Wise) на пiдприємницький рахунок -- бажано в тому ж кварталi.</w:t>
      </w:r>
    </w:p>
    <w:p>
      <w:pPr>
        <w:spacing w:before="14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D63864"/>
          <w:sz w:val="24"/>
          <w:szCs w:val="24"/>
        </w:rPr>
        <w:t xml:space="preserve">Регулярно</w:t>
      </w:r>
    </w:p>
    <w:p>
      <w:pPr>
        <w:spacing w:after="13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[  ]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Квартальна декларацiя i сплата єдиного податку та вiйськового збору.</w:t>
      </w:r>
    </w:p>
    <w:p>
      <w:pPr>
        <w:spacing w:after="13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[  ]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ЄСВ -- щомiсяця або щокварталу.</w:t>
      </w:r>
    </w:p>
    <w:p>
      <w:pPr>
        <w:spacing w:after="130" w:line="280"/>
      </w:pP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[  ]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Перевiряти строки: кожен iнвойс має бути закритий оплатою протягом 180 днiв.</w:t>
      </w:r>
    </w:p>
    <w:p>
      <w:pPr>
        <w:spacing w:before="200"/>
      </w:pPr>
    </w:p>
    <w:tbl>
      <w:tblPr>
        <w:tblW w:type="dxa" w:w="9360"/>
        <w:tblBorders>
          <w:top w:val="single" w:color="D9D6F0" w:sz="4"/>
          <w:left w:val="single" w:color="B8862E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DF8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7A5A1A"/>
                <w:sz w:val="22"/>
                <w:szCs w:val="22"/>
              </w:rPr>
              <w:t xml:space="preserve">Цей гайд -- загальна освiтня iнформацiя, а не податкова консультацiя. Ставки, лiмiти та правила змiнюються. Перед запуском роботи перевiр актуальнi данi Податковоi та проконсультуйся з бухгалтером, який веде ФОП.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78"/>
        <w:sz w:val="16"/>
        <w:szCs w:val="16"/>
      </w:rPr>
      <w:t xml:space="preserve">Стр. </w:t>
    </w:r>
    <w:r>
      <w:rPr>
        <w:rFonts w:ascii="Calibri" w:cs="Calibri" w:eastAsia="Calibri" w:hAnsi="Calibri"/>
        <w:color w:val="6B6B7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6B6B78"/>
        <w:sz w:val="16"/>
        <w:szCs w:val="16"/>
      </w:rPr>
      <w:t xml:space="preserve">UGC SCHOOL * Прийом оплати з-за кордону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2026-07-16T09:12:10.962Z</dcterms:created>
  <dcterms:modified xsi:type="dcterms:W3CDTF">2026-07-16T09:12:10.963Z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